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43" w:rsidRDefault="00927743" w:rsidP="00927743">
      <w:pPr>
        <w:jc w:val="center"/>
        <w:rPr>
          <w:b/>
          <w:color w:val="FF0000"/>
        </w:rPr>
      </w:pPr>
      <w:r>
        <w:rPr>
          <w:b/>
          <w:color w:val="FF0000"/>
        </w:rPr>
        <w:t>НА БЛАНКЕ ОРГАНИЗАЦИИ</w:t>
      </w:r>
    </w:p>
    <w:p w:rsidR="00927743" w:rsidRDefault="00927743" w:rsidP="00927743">
      <w:pPr>
        <w:jc w:val="right"/>
        <w:rPr>
          <w:noProof/>
        </w:rPr>
      </w:pPr>
    </w:p>
    <w:p w:rsidR="001C269B" w:rsidRPr="00D61FB2" w:rsidRDefault="001C269B" w:rsidP="00927743">
      <w:pPr>
        <w:jc w:val="right"/>
        <w:rPr>
          <w:noProof/>
        </w:rPr>
      </w:pPr>
      <w:r w:rsidRPr="00D61FB2">
        <w:rPr>
          <w:noProof/>
        </w:rPr>
        <w:t xml:space="preserve">Приложение №  </w:t>
      </w:r>
      <w:r>
        <w:rPr>
          <w:noProof/>
        </w:rPr>
        <w:t>2</w:t>
      </w:r>
    </w:p>
    <w:p w:rsidR="001C269B" w:rsidRPr="00685192" w:rsidRDefault="001C269B" w:rsidP="001C269B">
      <w:pPr>
        <w:jc w:val="right"/>
        <w:rPr>
          <w:noProof/>
        </w:rPr>
      </w:pPr>
      <w:r w:rsidRPr="00685192">
        <w:rPr>
          <w:noProof/>
        </w:rPr>
        <w:t>к Заявлению о приеме в члены саморегулируемой организации,</w:t>
      </w:r>
    </w:p>
    <w:p w:rsidR="001C269B" w:rsidRPr="00685192" w:rsidRDefault="001C269B" w:rsidP="001C269B">
      <w:pPr>
        <w:jc w:val="right"/>
        <w:rPr>
          <w:noProof/>
        </w:rPr>
      </w:pPr>
      <w:r w:rsidRPr="00685192">
        <w:rPr>
          <w:noProof/>
        </w:rPr>
        <w:t>основанной на членстве ли</w:t>
      </w:r>
      <w:r w:rsidR="00685192" w:rsidRPr="00685192">
        <w:rPr>
          <w:noProof/>
        </w:rPr>
        <w:t xml:space="preserve">ц, осуществляющих </w:t>
      </w:r>
      <w:r w:rsidR="00A37FE3">
        <w:rPr>
          <w:noProof/>
        </w:rPr>
        <w:t>проектирование</w:t>
      </w:r>
      <w:r w:rsidR="00685192" w:rsidRPr="00685192">
        <w:rPr>
          <w:noProof/>
        </w:rPr>
        <w:t>.</w:t>
      </w:r>
    </w:p>
    <w:p w:rsidR="00685192" w:rsidRPr="00685192" w:rsidRDefault="00685192" w:rsidP="001C269B">
      <w:pPr>
        <w:jc w:val="right"/>
        <w:rPr>
          <w:noProof/>
        </w:rPr>
      </w:pPr>
    </w:p>
    <w:p w:rsidR="001C269B" w:rsidRPr="00685192" w:rsidRDefault="001C269B" w:rsidP="001C269B">
      <w:pPr>
        <w:jc w:val="right"/>
      </w:pPr>
    </w:p>
    <w:p w:rsidR="00685192" w:rsidRPr="00685192" w:rsidRDefault="001C269B" w:rsidP="001C269B">
      <w:pPr>
        <w:jc w:val="both"/>
      </w:pPr>
      <w:r w:rsidRPr="00685192">
        <w:t xml:space="preserve">Настоящим информируем, что </w:t>
      </w:r>
    </w:p>
    <w:p w:rsidR="001C269B" w:rsidRPr="00685192" w:rsidRDefault="001C269B" w:rsidP="001C269B">
      <w:pPr>
        <w:jc w:val="both"/>
      </w:pPr>
      <w:r w:rsidRPr="00685192">
        <w:t>__________________________________________________</w:t>
      </w:r>
      <w:r w:rsidR="00685192" w:rsidRPr="00685192">
        <w:t>__________________________</w:t>
      </w:r>
      <w:r w:rsidRPr="00685192">
        <w:t>_</w:t>
      </w:r>
    </w:p>
    <w:p w:rsidR="00685192" w:rsidRPr="00A37FE3" w:rsidRDefault="00685192" w:rsidP="00685192">
      <w:pPr>
        <w:jc w:val="center"/>
        <w:rPr>
          <w:sz w:val="16"/>
          <w:szCs w:val="16"/>
        </w:rPr>
      </w:pPr>
      <w:r w:rsidRPr="00A37FE3">
        <w:rPr>
          <w:iCs/>
          <w:sz w:val="16"/>
          <w:szCs w:val="16"/>
        </w:rPr>
        <w:t>(наименование организации/ ФИО индивидуального предпринимателя)</w:t>
      </w:r>
    </w:p>
    <w:p w:rsidR="001C269B" w:rsidRPr="00685192" w:rsidRDefault="001C269B" w:rsidP="001C269B">
      <w:pPr>
        <w:jc w:val="both"/>
      </w:pPr>
      <w:r w:rsidRPr="00685192">
        <w:t>предполагает проводить работы на следующем (их) особо опасных и технически сложных объекте (объектах):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3) линейно-кабельные сооружения связи и сооружения связи, определяемые в соответствии с законодательством Российской Федерации;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 xml:space="preserve">4) линии электропередачи и иные объекты </w:t>
      </w:r>
      <w:proofErr w:type="spellStart"/>
      <w:r w:rsidRPr="00685192">
        <w:t>электросетевого</w:t>
      </w:r>
      <w:proofErr w:type="spellEnd"/>
      <w:r w:rsidRPr="00685192">
        <w:t xml:space="preserve"> хозяйства напряжением 330 киловольт и более;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5) объекты космической инфраструктуры;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6) аэропорты и иные объекты авиационной инфраструктуры;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7) объекты инфраструктуры железнодорожного транспорта общего пользования;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8) метрополитены;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9) морские порты, за исключением морских специализированных портов, предназначенных для обслуживания спортивных и прогулочных судов;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10) тепловые электростанции мощностью 150 мегаватт и выше;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11) опасные производственные объекты, на которых: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а) получаются, используются, перерабатываются, образуются, хранятся, транспортируются, уничтожаются опасные вещества в количествах, превышающих предельные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в) получаются расплавы черных и цветных металлов и сплавы на основе этих расплавов;</w:t>
      </w:r>
    </w:p>
    <w:p w:rsidR="00431921" w:rsidRPr="00685192" w:rsidRDefault="00431921" w:rsidP="00431921">
      <w:pPr>
        <w:autoSpaceDE w:val="0"/>
        <w:autoSpaceDN w:val="0"/>
        <w:adjustRightInd w:val="0"/>
        <w:ind w:firstLine="540"/>
        <w:jc w:val="both"/>
      </w:pPr>
      <w:r w:rsidRPr="00685192">
        <w:t>г) ведутся горные работы, работы по обогащению полезных ископаемых, а также работы в подземных условиях;</w:t>
      </w:r>
    </w:p>
    <w:p w:rsidR="001C269B" w:rsidRPr="00685192" w:rsidRDefault="00431921" w:rsidP="00431921">
      <w:pPr>
        <w:ind w:firstLine="540"/>
        <w:jc w:val="both"/>
      </w:pPr>
      <w:proofErr w:type="spellStart"/>
      <w:r w:rsidRPr="00685192">
        <w:t>д</w:t>
      </w:r>
      <w:proofErr w:type="spellEnd"/>
      <w:r w:rsidRPr="00685192">
        <w:t>) используются стационарно установленные канатные дороги и фуникулеры.</w:t>
      </w:r>
    </w:p>
    <w:p w:rsidR="001C269B" w:rsidRPr="00685192" w:rsidRDefault="001C269B" w:rsidP="001C269B">
      <w:pPr>
        <w:rPr>
          <w:i/>
        </w:rPr>
      </w:pPr>
    </w:p>
    <w:p w:rsidR="00685192" w:rsidRPr="00685192" w:rsidRDefault="00685192" w:rsidP="00685192">
      <w:r w:rsidRPr="00685192">
        <w:t>Должность   _______________            ФИО Руководителя    ___________________</w:t>
      </w:r>
    </w:p>
    <w:p w:rsidR="00685192" w:rsidRPr="00685192" w:rsidRDefault="00685192" w:rsidP="00685192"/>
    <w:p w:rsidR="00685192" w:rsidRPr="00685192" w:rsidRDefault="00685192" w:rsidP="00685192">
      <w:r w:rsidRPr="00685192">
        <w:t>Подпись       _______________</w:t>
      </w:r>
      <w:r w:rsidRPr="00685192">
        <w:tab/>
        <w:t xml:space="preserve">    Дата     __________________</w:t>
      </w:r>
    </w:p>
    <w:p w:rsidR="00685192" w:rsidRPr="00685192" w:rsidRDefault="00685192" w:rsidP="00685192"/>
    <w:p w:rsidR="00685192" w:rsidRPr="00685192" w:rsidRDefault="00685192" w:rsidP="00685192">
      <w:r w:rsidRPr="00685192">
        <w:t>МП</w:t>
      </w:r>
    </w:p>
    <w:p w:rsidR="001C269B" w:rsidRPr="00685192" w:rsidRDefault="001C269B" w:rsidP="001C269B">
      <w:pPr>
        <w:rPr>
          <w:i/>
        </w:rPr>
      </w:pPr>
    </w:p>
    <w:p w:rsidR="001C269B" w:rsidRPr="00685192" w:rsidRDefault="001C269B" w:rsidP="001C269B">
      <w:pPr>
        <w:rPr>
          <w:i/>
        </w:rPr>
      </w:pPr>
      <w:r w:rsidRPr="00685192">
        <w:rPr>
          <w:i/>
        </w:rPr>
        <w:t xml:space="preserve">Примечание: </w:t>
      </w:r>
    </w:p>
    <w:p w:rsidR="001C269B" w:rsidRPr="00685192" w:rsidRDefault="001C269B" w:rsidP="001C269B">
      <w:pPr>
        <w:jc w:val="both"/>
        <w:rPr>
          <w:i/>
        </w:rPr>
      </w:pPr>
      <w:r w:rsidRPr="00685192">
        <w:rPr>
          <w:i/>
        </w:rPr>
        <w:t>1. Оставить только необходимые виды работ.</w:t>
      </w:r>
    </w:p>
    <w:p w:rsidR="00431921" w:rsidRPr="00685192" w:rsidRDefault="00431921" w:rsidP="001C269B">
      <w:pPr>
        <w:jc w:val="both"/>
        <w:rPr>
          <w:i/>
        </w:rPr>
      </w:pPr>
      <w:r w:rsidRPr="00685192">
        <w:rPr>
          <w:i/>
        </w:rPr>
        <w:t xml:space="preserve">2. Справка является основанием для запроса у соискателя соответствующих документов об аттестации </w:t>
      </w:r>
      <w:proofErr w:type="spellStart"/>
      <w:r w:rsidRPr="00685192">
        <w:rPr>
          <w:i/>
        </w:rPr>
        <w:t>Ростехнадзора</w:t>
      </w:r>
      <w:proofErr w:type="spellEnd"/>
    </w:p>
    <w:p w:rsidR="0032511A" w:rsidRPr="00685192" w:rsidRDefault="00A37FE3" w:rsidP="001C269B">
      <w:pPr>
        <w:jc w:val="both"/>
        <w:rPr>
          <w:i/>
          <w:color w:val="FF0000"/>
        </w:rPr>
      </w:pPr>
      <w:r>
        <w:rPr>
          <w:i/>
        </w:rPr>
        <w:t>3</w:t>
      </w:r>
      <w:r w:rsidR="0032511A">
        <w:rPr>
          <w:i/>
        </w:rPr>
        <w:t xml:space="preserve">. Заполняется только при </w:t>
      </w:r>
      <w:r>
        <w:rPr>
          <w:i/>
        </w:rPr>
        <w:t xml:space="preserve">выполнении проектных работ </w:t>
      </w:r>
      <w:r w:rsidR="0032511A">
        <w:rPr>
          <w:i/>
        </w:rPr>
        <w:t xml:space="preserve"> на особо опасны</w:t>
      </w:r>
      <w:r>
        <w:rPr>
          <w:i/>
        </w:rPr>
        <w:t>х</w:t>
      </w:r>
      <w:r w:rsidR="0032511A">
        <w:rPr>
          <w:i/>
        </w:rPr>
        <w:t xml:space="preserve"> и технически сложны</w:t>
      </w:r>
      <w:r>
        <w:rPr>
          <w:i/>
        </w:rPr>
        <w:t>х</w:t>
      </w:r>
      <w:r w:rsidR="0032511A">
        <w:rPr>
          <w:i/>
        </w:rPr>
        <w:t xml:space="preserve"> объект</w:t>
      </w:r>
      <w:r>
        <w:rPr>
          <w:i/>
        </w:rPr>
        <w:t>ах</w:t>
      </w:r>
    </w:p>
    <w:sectPr w:rsidR="0032511A" w:rsidRPr="00685192" w:rsidSect="0085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D56"/>
    <w:multiLevelType w:val="hybridMultilevel"/>
    <w:tmpl w:val="B258724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69B"/>
    <w:rsid w:val="001C269B"/>
    <w:rsid w:val="0032511A"/>
    <w:rsid w:val="00336D95"/>
    <w:rsid w:val="00407B92"/>
    <w:rsid w:val="00431921"/>
    <w:rsid w:val="00685192"/>
    <w:rsid w:val="007126CC"/>
    <w:rsid w:val="008579FC"/>
    <w:rsid w:val="00927743"/>
    <w:rsid w:val="00A37FE3"/>
    <w:rsid w:val="00B13F5D"/>
    <w:rsid w:val="00DF2624"/>
    <w:rsid w:val="00EA1A69"/>
    <w:rsid w:val="00EA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C26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6D95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36D95"/>
    <w:pPr>
      <w:keepNext/>
      <w:widowControl w:val="0"/>
      <w:suppressAutoHyphens/>
      <w:jc w:val="right"/>
      <w:outlineLvl w:val="1"/>
    </w:pPr>
    <w:rPr>
      <w:rFonts w:ascii="Arial Narrow" w:hAnsi="Arial Narrow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336D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6D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6D95"/>
    <w:pPr>
      <w:keepNext/>
      <w:spacing w:after="120"/>
      <w:ind w:firstLine="709"/>
      <w:jc w:val="both"/>
      <w:outlineLvl w:val="4"/>
    </w:pPr>
    <w:rPr>
      <w:rFonts w:ascii="Arial Narrow" w:hAnsi="Arial Narrow" w:cs="Arial"/>
      <w:b/>
      <w:bCs/>
      <w:sz w:val="28"/>
    </w:rPr>
  </w:style>
  <w:style w:type="paragraph" w:styleId="8">
    <w:name w:val="heading 8"/>
    <w:basedOn w:val="a"/>
    <w:next w:val="a"/>
    <w:link w:val="80"/>
    <w:qFormat/>
    <w:rsid w:val="00336D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D95"/>
    <w:rPr>
      <w:rFonts w:ascii="Arial" w:eastAsia="Lucida Sans Unicode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336D95"/>
    <w:rPr>
      <w:rFonts w:ascii="Arial Narrow" w:hAnsi="Arial Narrow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36D9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6D9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36D95"/>
    <w:rPr>
      <w:rFonts w:ascii="Arial Narrow" w:hAnsi="Arial Narrow" w:cs="Arial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336D95"/>
    <w:rPr>
      <w:i/>
      <w:iCs/>
      <w:sz w:val="24"/>
      <w:szCs w:val="24"/>
    </w:rPr>
  </w:style>
  <w:style w:type="paragraph" w:styleId="11">
    <w:name w:val="toc 1"/>
    <w:basedOn w:val="a"/>
    <w:next w:val="a"/>
    <w:autoRedefine/>
    <w:unhideWhenUsed/>
    <w:qFormat/>
    <w:rsid w:val="00336D95"/>
    <w:pPr>
      <w:tabs>
        <w:tab w:val="right" w:leader="dot" w:pos="9781"/>
      </w:tabs>
      <w:spacing w:after="100" w:line="276" w:lineRule="auto"/>
      <w:ind w:right="-307"/>
    </w:pPr>
    <w:rPr>
      <w:rFonts w:eastAsia="Calibri"/>
      <w:noProof/>
      <w:sz w:val="22"/>
      <w:szCs w:val="22"/>
      <w:lang w:eastAsia="en-US"/>
    </w:rPr>
  </w:style>
  <w:style w:type="paragraph" w:styleId="21">
    <w:name w:val="toc 2"/>
    <w:basedOn w:val="a"/>
    <w:next w:val="a"/>
    <w:autoRedefine/>
    <w:unhideWhenUsed/>
    <w:qFormat/>
    <w:rsid w:val="00336D95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qFormat/>
    <w:rsid w:val="00336D95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3">
    <w:name w:val="Subtitle"/>
    <w:basedOn w:val="a"/>
    <w:link w:val="a4"/>
    <w:qFormat/>
    <w:rsid w:val="00336D95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336D95"/>
    <w:rPr>
      <w:b/>
      <w:sz w:val="36"/>
    </w:rPr>
  </w:style>
  <w:style w:type="character" w:styleId="a5">
    <w:name w:val="Strong"/>
    <w:basedOn w:val="a0"/>
    <w:qFormat/>
    <w:rsid w:val="00336D95"/>
    <w:rPr>
      <w:b/>
      <w:bCs/>
    </w:rPr>
  </w:style>
  <w:style w:type="paragraph" w:styleId="a6">
    <w:name w:val="No Spacing"/>
    <w:qFormat/>
    <w:rsid w:val="00336D95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336D95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8">
    <w:name w:val="TOC Heading"/>
    <w:basedOn w:val="1"/>
    <w:next w:val="a"/>
    <w:qFormat/>
    <w:rsid w:val="00336D9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Алена</cp:lastModifiedBy>
  <cp:revision>7</cp:revision>
  <dcterms:created xsi:type="dcterms:W3CDTF">2013-05-31T09:18:00Z</dcterms:created>
  <dcterms:modified xsi:type="dcterms:W3CDTF">2018-01-09T16:21:00Z</dcterms:modified>
</cp:coreProperties>
</file>